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84733B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B857A6">
        <w:rPr>
          <w:rFonts w:ascii="Times New Roman" w:hAnsi="Times New Roman"/>
          <w:sz w:val="28"/>
          <w:szCs w:val="28"/>
        </w:rPr>
        <w:t>2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562AD6" w:rsidRDefault="00562AD6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2022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B857A6">
        <w:rPr>
          <w:rFonts w:ascii="Times New Roman" w:hAnsi="Times New Roman"/>
          <w:sz w:val="28"/>
          <w:szCs w:val="28"/>
        </w:rPr>
        <w:t xml:space="preserve"> </w:t>
      </w:r>
      <w:r w:rsidR="00B857A6" w:rsidRPr="00B857A6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AF29B9" w:rsidRDefault="00AF29B9" w:rsidP="00562AD6">
      <w:pPr>
        <w:pStyle w:val="a3"/>
        <w:jc w:val="center"/>
        <w:rPr>
          <w:bCs/>
          <w:sz w:val="28"/>
          <w:szCs w:val="28"/>
        </w:rPr>
      </w:pPr>
    </w:p>
    <w:p w:rsidR="00AF29B9" w:rsidRDefault="00AF29B9" w:rsidP="00562AD6">
      <w:pPr>
        <w:pStyle w:val="a3"/>
        <w:jc w:val="center"/>
        <w:rPr>
          <w:bCs/>
          <w:sz w:val="28"/>
          <w:szCs w:val="28"/>
        </w:rPr>
      </w:pP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665FD0">
              <w:rPr>
                <w:bCs/>
                <w:sz w:val="28"/>
                <w:szCs w:val="28"/>
              </w:rPr>
              <w:t>2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CA12E3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EF7946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 xml:space="preserve">1. </w:t>
            </w:r>
            <w:r w:rsidR="008E3CEA" w:rsidRPr="00EF7946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EF7946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EF7946">
              <w:rPr>
                <w:bCs/>
                <w:sz w:val="28"/>
                <w:szCs w:val="28"/>
              </w:rPr>
              <w:t xml:space="preserve"> </w:t>
            </w:r>
            <w:r w:rsidR="008F5A4C" w:rsidRPr="00EF7946">
              <w:rPr>
                <w:bCs/>
                <w:sz w:val="28"/>
                <w:szCs w:val="28"/>
              </w:rPr>
              <w:t>с</w:t>
            </w:r>
            <w:r w:rsidR="00A85512" w:rsidRPr="00EF7946">
              <w:rPr>
                <w:bCs/>
                <w:sz w:val="28"/>
                <w:szCs w:val="28"/>
              </w:rPr>
              <w:t xml:space="preserve"> 9 500 </w:t>
            </w:r>
            <w:r w:rsidR="00A6146C" w:rsidRPr="00EF7946">
              <w:rPr>
                <w:bCs/>
                <w:sz w:val="28"/>
                <w:szCs w:val="28"/>
              </w:rPr>
              <w:t>кв. м в год</w:t>
            </w:r>
            <w:r w:rsidR="000D60F7" w:rsidRPr="00EF7946">
              <w:rPr>
                <w:bCs/>
                <w:sz w:val="28"/>
                <w:szCs w:val="28"/>
              </w:rPr>
              <w:t xml:space="preserve"> до 13</w:t>
            </w:r>
            <w:r w:rsidR="008F5A4C" w:rsidRPr="00EF7946">
              <w:rPr>
                <w:bCs/>
                <w:sz w:val="28"/>
                <w:szCs w:val="28"/>
              </w:rPr>
              <w:t> </w:t>
            </w:r>
            <w:r w:rsidR="000D60F7" w:rsidRPr="00EF7946">
              <w:rPr>
                <w:bCs/>
                <w:sz w:val="28"/>
                <w:szCs w:val="28"/>
              </w:rPr>
              <w:t>351</w:t>
            </w:r>
            <w:r w:rsidR="008F5A4C" w:rsidRPr="00EF7946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EF7946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 xml:space="preserve">2. </w:t>
            </w:r>
            <w:r w:rsidR="001829A5" w:rsidRPr="00EF7946">
              <w:rPr>
                <w:bCs/>
                <w:sz w:val="28"/>
                <w:szCs w:val="28"/>
              </w:rPr>
              <w:t>Сохранение доли границ территориальных зон и границ населенных пунктов, поставленных на кадастровый учет, на уровне 100%</w:t>
            </w:r>
          </w:p>
          <w:p w:rsidR="001829A5" w:rsidRPr="00EF7946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EF7946">
              <w:rPr>
                <w:bCs/>
                <w:sz w:val="28"/>
                <w:szCs w:val="28"/>
              </w:rPr>
              <w:t xml:space="preserve">4. </w:t>
            </w:r>
            <w:r w:rsidR="00B51BD2" w:rsidRPr="00EF7946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EF7946">
              <w:rPr>
                <w:bCs/>
                <w:sz w:val="28"/>
                <w:szCs w:val="28"/>
              </w:rPr>
              <w:t>% до 10</w:t>
            </w:r>
            <w:r w:rsidR="00BF0AB6" w:rsidRPr="00EF7946">
              <w:rPr>
                <w:bCs/>
                <w:sz w:val="28"/>
                <w:szCs w:val="28"/>
              </w:rPr>
              <w:t>0</w:t>
            </w:r>
            <w:r w:rsidR="00AD43FE" w:rsidRPr="00EF7946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8D05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66771F">
              <w:rPr>
                <w:bCs/>
                <w:sz w:val="28"/>
                <w:szCs w:val="28"/>
              </w:rPr>
              <w:t>2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E61240" w:rsidRPr="00E61240">
              <w:rPr>
                <w:bCs/>
                <w:sz w:val="28"/>
                <w:szCs w:val="28"/>
              </w:rPr>
              <w:t>51 537,7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Pr="00C66216" w:rsidRDefault="00E61240" w:rsidP="00E6124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12 467,4 тыс. рублей.</w:t>
            </w: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CF7633" w:rsidRPr="001240A1" w:rsidRDefault="008D058E" w:rsidP="00562A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F677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A1" w:rsidRPr="001240A1">
        <w:rPr>
          <w:sz w:val="28"/>
          <w:szCs w:val="28"/>
        </w:rPr>
        <w:t xml:space="preserve">О стимулировании </w:t>
      </w:r>
      <w:r w:rsidR="00B33CA5" w:rsidRPr="001240A1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1240A1" w:rsidRDefault="00CF7633" w:rsidP="00562AD6">
      <w:pPr>
        <w:pStyle w:val="a3"/>
        <w:jc w:val="center"/>
        <w:rPr>
          <w:sz w:val="28"/>
          <w:szCs w:val="28"/>
        </w:rPr>
      </w:pPr>
    </w:p>
    <w:p w:rsidR="00485481" w:rsidRDefault="00362781" w:rsidP="00562AD6">
      <w:pPr>
        <w:pStyle w:val="a3"/>
        <w:ind w:firstLine="709"/>
        <w:jc w:val="both"/>
        <w:rPr>
          <w:sz w:val="28"/>
          <w:szCs w:val="28"/>
        </w:rPr>
      </w:pPr>
      <w:r w:rsidRPr="00485481">
        <w:rPr>
          <w:sz w:val="28"/>
          <w:szCs w:val="28"/>
        </w:rPr>
        <w:t>1.1</w:t>
      </w:r>
      <w:r w:rsidR="00AB50F2" w:rsidRPr="00485481">
        <w:rPr>
          <w:sz w:val="28"/>
          <w:szCs w:val="28"/>
        </w:rPr>
        <w:t xml:space="preserve">. </w:t>
      </w:r>
      <w:r w:rsidR="00485481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>
        <w:rPr>
          <w:sz w:val="28"/>
          <w:szCs w:val="28"/>
        </w:rPr>
        <w:t>разрешения на строительство.</w:t>
      </w:r>
    </w:p>
    <w:p w:rsidR="000445B7" w:rsidRPr="00485481" w:rsidRDefault="000445B7" w:rsidP="00562A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>
        <w:rPr>
          <w:sz w:val="28"/>
          <w:szCs w:val="28"/>
        </w:rPr>
        <w:t>градостроительства, повышение уровня информированности участников градостроительных отношений, обеспечение возможности предоставления муниципальных услуг в электронном виде</w:t>
      </w:r>
      <w:r w:rsidR="000071BD">
        <w:rPr>
          <w:sz w:val="28"/>
          <w:szCs w:val="28"/>
        </w:rPr>
        <w:t xml:space="preserve">. </w:t>
      </w:r>
    </w:p>
    <w:p w:rsidR="00AB50F2" w:rsidRPr="000071BD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71BD">
        <w:rPr>
          <w:rFonts w:ascii="Times New Roman" w:hAnsi="Times New Roman"/>
          <w:sz w:val="28"/>
          <w:szCs w:val="28"/>
        </w:rPr>
        <w:t xml:space="preserve"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</w:t>
      </w:r>
      <w:r w:rsidRPr="000071BD">
        <w:rPr>
          <w:rFonts w:ascii="Times New Roman" w:hAnsi="Times New Roman"/>
          <w:sz w:val="28"/>
          <w:szCs w:val="28"/>
        </w:rPr>
        <w:lastRenderedPageBreak/>
        <w:t>генеральные планы и правила землепользования и застройки населенных пунктов Ханты-Мансийского района позволя</w:t>
      </w:r>
      <w:r w:rsidR="00914884" w:rsidRPr="000071BD">
        <w:rPr>
          <w:rFonts w:ascii="Times New Roman" w:hAnsi="Times New Roman"/>
          <w:sz w:val="28"/>
          <w:szCs w:val="28"/>
        </w:rPr>
        <w:t>ю</w:t>
      </w:r>
      <w:r w:rsidRPr="000071BD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Default="00287B34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3CC">
        <w:rPr>
          <w:rFonts w:ascii="Times New Roman" w:hAnsi="Times New Roman"/>
          <w:sz w:val="28"/>
          <w:szCs w:val="28"/>
        </w:rPr>
        <w:t>1.2</w:t>
      </w:r>
      <w:r w:rsidR="00AB50F2" w:rsidRPr="00D573CC">
        <w:rPr>
          <w:rFonts w:ascii="Times New Roman" w:hAnsi="Times New Roman"/>
          <w:sz w:val="28"/>
          <w:szCs w:val="28"/>
        </w:rPr>
        <w:t xml:space="preserve">. </w:t>
      </w:r>
      <w:r w:rsidR="00D573CC" w:rsidRPr="00D573CC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D573CC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124B26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124B26">
        <w:rPr>
          <w:rFonts w:ascii="Times New Roman" w:hAnsi="Times New Roman"/>
          <w:sz w:val="28"/>
          <w:szCs w:val="28"/>
        </w:rPr>
        <w:t>е</w:t>
      </w:r>
      <w:r w:rsidRPr="00124B26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124B26">
        <w:rPr>
          <w:rFonts w:ascii="Times New Roman" w:hAnsi="Times New Roman"/>
          <w:sz w:val="28"/>
          <w:szCs w:val="28"/>
        </w:rPr>
        <w:t>я</w:t>
      </w:r>
      <w:r w:rsidRPr="00124B26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124B26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124B26">
        <w:rPr>
          <w:rFonts w:ascii="Times New Roman" w:hAnsi="Times New Roman"/>
          <w:sz w:val="28"/>
          <w:szCs w:val="28"/>
        </w:rPr>
        <w:t>,</w:t>
      </w:r>
      <w:r w:rsidR="00914884" w:rsidRPr="00124B26">
        <w:rPr>
          <w:rFonts w:ascii="Times New Roman" w:hAnsi="Times New Roman"/>
          <w:sz w:val="28"/>
          <w:szCs w:val="28"/>
        </w:rPr>
        <w:t xml:space="preserve"> с</w:t>
      </w:r>
      <w:r w:rsidRPr="00124B26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Default="006028D5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124B26">
        <w:rPr>
          <w:rFonts w:ascii="Times New Roman" w:hAnsi="Times New Roman"/>
          <w:sz w:val="28"/>
          <w:szCs w:val="28"/>
        </w:rPr>
        <w:t>муниципальной</w:t>
      </w:r>
      <w:r w:rsidRPr="00124B26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>
        <w:rPr>
          <w:rFonts w:ascii="Times New Roman" w:hAnsi="Times New Roman"/>
          <w:sz w:val="28"/>
          <w:szCs w:val="28"/>
        </w:rPr>
        <w:t xml:space="preserve">решения </w:t>
      </w:r>
      <w:r w:rsidRPr="00124B26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Default="00F53F3E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3F3E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рамках </w:t>
      </w:r>
      <w:r w:rsidR="00794A30">
        <w:rPr>
          <w:rFonts w:ascii="Times New Roman" w:hAnsi="Times New Roman"/>
          <w:sz w:val="28"/>
          <w:szCs w:val="28"/>
        </w:rPr>
        <w:t>муниципальной программы</w:t>
      </w:r>
      <w:r w:rsidRPr="00F53F3E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Default="002146C1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18">
        <w:rPr>
          <w:rFonts w:ascii="Times New Roman" w:hAnsi="Times New Roman"/>
          <w:sz w:val="28"/>
          <w:szCs w:val="28"/>
        </w:rPr>
        <w:t>4</w:t>
      </w:r>
      <w:r w:rsidR="00F53F3E" w:rsidRPr="00F53F3E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F53F3E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E753C6" w:rsidRDefault="00A243D7" w:rsidP="00562AD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533A5" w:rsidRDefault="0034323B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 xml:space="preserve">Раздел </w:t>
      </w:r>
      <w:r w:rsidR="009A64A6" w:rsidRPr="00A533A5">
        <w:rPr>
          <w:sz w:val="28"/>
          <w:szCs w:val="28"/>
        </w:rPr>
        <w:t>2</w:t>
      </w:r>
      <w:r w:rsidR="00F677BC">
        <w:rPr>
          <w:sz w:val="28"/>
          <w:szCs w:val="28"/>
        </w:rPr>
        <w:t>.</w:t>
      </w:r>
      <w:r w:rsidR="008D058E">
        <w:rPr>
          <w:sz w:val="28"/>
          <w:szCs w:val="28"/>
        </w:rPr>
        <w:t xml:space="preserve"> </w:t>
      </w:r>
      <w:r w:rsidR="009A64A6"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</w:t>
      </w:r>
      <w:r w:rsidRPr="00A533A5">
        <w:rPr>
          <w:sz w:val="28"/>
          <w:szCs w:val="28"/>
        </w:rPr>
        <w:lastRenderedPageBreak/>
        <w:t xml:space="preserve">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532"/>
        <w:gridCol w:w="1729"/>
        <w:gridCol w:w="702"/>
        <w:gridCol w:w="702"/>
        <w:gridCol w:w="702"/>
        <w:gridCol w:w="702"/>
        <w:gridCol w:w="2382"/>
        <w:gridCol w:w="3325"/>
      </w:tblGrid>
      <w:tr w:rsidR="00F55E24" w:rsidRPr="00580685" w:rsidTr="00F55E24">
        <w:trPr>
          <w:trHeight w:val="316"/>
        </w:trPr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:rsidR="00F55E24" w:rsidRPr="00580685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F55E24" w:rsidRPr="00580685" w:rsidTr="00F55E24">
        <w:trPr>
          <w:trHeight w:val="399"/>
        </w:trPr>
        <w:tc>
          <w:tcPr>
            <w:tcW w:w="382" w:type="pct"/>
            <w:vMerge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4" w:type="pct"/>
            <w:vMerge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vMerge/>
          </w:tcPr>
          <w:p w:rsidR="00F55E24" w:rsidRPr="00580685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E24" w:rsidRPr="00580685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pct"/>
          </w:tcPr>
          <w:p w:rsidR="00F55E24" w:rsidRPr="00580685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55E24" w:rsidRPr="009C12D1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68" w:type="pct"/>
            <w:shd w:val="clear" w:color="auto" w:fill="auto"/>
          </w:tcPr>
          <w:p w:rsidR="00F55E24" w:rsidRPr="00580685" w:rsidRDefault="00F55E24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  <w:r w:rsidR="00EB6388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23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40" w:type="pct"/>
          </w:tcPr>
          <w:p w:rsidR="00F55E24" w:rsidRPr="00580685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914" w:type="pct"/>
            <w:shd w:val="clear" w:color="auto" w:fill="auto"/>
          </w:tcPr>
          <w:p w:rsidR="00F55E24" w:rsidRPr="00580685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1251" w:type="pct"/>
          </w:tcPr>
          <w:p w:rsidR="00F55E24" w:rsidRPr="00580685" w:rsidRDefault="00F55E24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 w:rsidR="00371EE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 w:rsidR="00371EE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 w:rsidR="00371EE0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 w:rsidR="00F8124D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форм федерального статистического наблюдения для организации федерального статистического наблюдения за строительством, инвестициями </w:t>
            </w:r>
            <w:r w:rsidR="00B9785C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 нефинансовые активы и жилищно-коммунальным хозяйством</w:t>
            </w:r>
            <w:r w:rsidR="00FF1F3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»</w:t>
            </w:r>
            <w:r w:rsidR="00E86760"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371EE0" w:rsidRPr="00580685" w:rsidRDefault="00E86760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 w:rsidR="00FF1F3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F55E24" w:rsidRPr="009C12D1" w:rsidTr="00F55E24">
        <w:trPr>
          <w:trHeight w:val="327"/>
        </w:trPr>
        <w:tc>
          <w:tcPr>
            <w:tcW w:w="382" w:type="pct"/>
            <w:shd w:val="clear" w:color="auto" w:fill="auto"/>
          </w:tcPr>
          <w:p w:rsidR="00F55E24" w:rsidRPr="00270F48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8" w:type="pct"/>
            <w:shd w:val="clear" w:color="auto" w:fill="auto"/>
          </w:tcPr>
          <w:p w:rsidR="00F55E24" w:rsidRPr="00270F48" w:rsidRDefault="007430CB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населенных пунктов, поставленных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кадастровый учет, %</w:t>
            </w:r>
            <w:r w:rsidR="00F55E24"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2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55E24" w:rsidRPr="00270F48" w:rsidRDefault="000222D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270F48" w:rsidRDefault="000222D4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Default="001D2D63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="0099191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границ территориальных зон и границ населенных пунктов</w:t>
            </w:r>
            <w:r w:rsidR="00FF26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поставленных на кадастровый учет в </w:t>
            </w:r>
            <w:r w:rsidR="00270F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отчетном</w:t>
            </w:r>
            <w:r w:rsidR="00FF26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году к </w:t>
            </w:r>
            <w:r w:rsidR="00D77F3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плановому значению в отчетный период</w:t>
            </w:r>
            <w:r w:rsid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304746" w:rsidRPr="00270F48" w:rsidRDefault="00304746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F55E24" w:rsidRPr="009C12D1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CE7C9B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8" w:type="pct"/>
            <w:shd w:val="clear" w:color="auto" w:fill="auto"/>
          </w:tcPr>
          <w:p w:rsidR="00F55E24" w:rsidRPr="00CE7C9B" w:rsidRDefault="00112F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577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Default="00CE7C9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="000413D9"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</w:t>
            </w:r>
            <w:r w:rsid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B411A2" w:rsidRPr="009C12D1" w:rsidRDefault="00B411A2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F55E24" w:rsidRPr="00E753C6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A7088F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68" w:type="pct"/>
            <w:shd w:val="clear" w:color="auto" w:fill="auto"/>
          </w:tcPr>
          <w:p w:rsidR="00F55E24" w:rsidRPr="00A7088F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577" w:type="pct"/>
            <w:shd w:val="clear" w:color="auto" w:fill="auto"/>
          </w:tcPr>
          <w:p w:rsidR="00F55E24" w:rsidRPr="00A7088F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3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Pr="00A7088F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F55E24" w:rsidRPr="00A7088F" w:rsidRDefault="00F55E24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CF7D89" w:rsidRPr="00E753C6" w:rsidRDefault="00CF7D89" w:rsidP="00562AD6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9C12D1" w:rsidRDefault="009C12D1" w:rsidP="009C12D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958"/>
        <w:gridCol w:w="1904"/>
        <w:gridCol w:w="2149"/>
        <w:gridCol w:w="1140"/>
        <w:gridCol w:w="1140"/>
        <w:gridCol w:w="1140"/>
        <w:gridCol w:w="1140"/>
        <w:gridCol w:w="1140"/>
      </w:tblGrid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5" w:type="pct"/>
            <w:gridSpan w:val="5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6" w:type="pct"/>
            <w:gridSpan w:val="4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12D1" w:rsidRPr="009C12D1" w:rsidTr="009062A1">
        <w:trPr>
          <w:trHeight w:val="276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C12D1" w:rsidRPr="009C12D1" w:rsidTr="009062A1">
        <w:trPr>
          <w:trHeight w:val="276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12D1" w:rsidRPr="009C12D1" w:rsidTr="009062A1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</w:t>
            </w:r>
            <w:r w:rsidR="009E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йского района (показатель 1,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8 235,4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7 403,0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Горноправдинск (п.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Горноправдинск, п. Бобровский, д. Лугофолинская)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1 889,9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Нялинское (с. Нялинское, д. Нялино)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Цингалы (с. Цингалы, д. </w:t>
            </w:r>
            <w:proofErr w:type="spell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(д.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Шапша, д. Ярки, </w:t>
            </w:r>
            <w:proofErr w:type="spell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с.Зенково</w:t>
            </w:r>
            <w:proofErr w:type="spell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проекты межевания населенных пунктов: д. Белогорье, п. Кирпичный,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 Красноленинский, п. Урманный, п. Кедровый, 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</w:t>
            </w:r>
            <w:r w:rsidR="009E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3, 4)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43 302,3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37 721,5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34 125,5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31 054,2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3 071,3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3 071,3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Мансийского района (актуализация)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застройки СП Горноправдинск (п. Горноправдинск, п. Бобровский, д. Лугофилинская)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застройки СП Нялинское (с. Нялинское, д. Нялино)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застройки СП Сибирский (п. Сибирский, 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застройки СП Цингалы (с. Цингалы, д. Чембакчино)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Шапша (д. Шапша, д. Ярки, с. Зенково)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с.Елизарово</w:t>
            </w:r>
            <w:proofErr w:type="spell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9C12D1" w:rsidRDefault="009C12D1" w:rsidP="009C12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9C12D1" w:rsidRDefault="009C12D1" w:rsidP="009C12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9C12D1" w:rsidRDefault="009C12D1" w:rsidP="009C12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9C12D1" w:rsidRDefault="009C12D1" w:rsidP="009C12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архитектуры </w:t>
            </w:r>
            <w:proofErr w:type="gram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</w:tbl>
    <w:p w:rsidR="005D50D2" w:rsidRDefault="005D50D2" w:rsidP="00F64F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Pr="00F40FEA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0F2CD4" w:rsidRPr="00F40FEA" w:rsidRDefault="000F2CD4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19"/>
        <w:gridCol w:w="2127"/>
        <w:gridCol w:w="1844"/>
        <w:gridCol w:w="851"/>
        <w:gridCol w:w="1419"/>
        <w:gridCol w:w="1273"/>
        <w:gridCol w:w="1847"/>
        <w:gridCol w:w="851"/>
        <w:gridCol w:w="848"/>
        <w:gridCol w:w="851"/>
        <w:gridCol w:w="854"/>
        <w:gridCol w:w="809"/>
      </w:tblGrid>
      <w:tr w:rsidR="006E7553" w:rsidRPr="00F40FEA" w:rsidTr="00C10CD8">
        <w:trPr>
          <w:trHeight w:val="20"/>
        </w:trPr>
        <w:tc>
          <w:tcPr>
            <w:tcW w:w="150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05" w:type="pct"/>
            <w:gridSpan w:val="5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89" w:type="pct"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386" w:rsidRPr="00F40FEA" w:rsidTr="006E7553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FC4386" w:rsidRPr="00F40FEA" w:rsidRDefault="00FC4386" w:rsidP="00562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Портфель проекта «Жилье и городская среда»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«Жилье» (показатель 1)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 w:val="restar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портфелю проектов:</w:t>
            </w: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40FEA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FC4386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F40FEA" w:rsidRDefault="0038620D" w:rsidP="0038620D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F40FEA" w:rsidRDefault="0038620D" w:rsidP="00386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7102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25"/>
        <w:gridCol w:w="3227"/>
        <w:gridCol w:w="991"/>
        <w:gridCol w:w="991"/>
        <w:gridCol w:w="994"/>
        <w:gridCol w:w="1133"/>
        <w:gridCol w:w="3792"/>
      </w:tblGrid>
      <w:tr w:rsidR="00AF3CF5" w:rsidRPr="00AA4E59" w:rsidTr="00B415A0">
        <w:tc>
          <w:tcPr>
            <w:tcW w:w="19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муниципальных </w:t>
            </w: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(работ)</w:t>
            </w:r>
          </w:p>
        </w:tc>
        <w:tc>
          <w:tcPr>
            <w:tcW w:w="115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объема (единицы измерения) </w:t>
            </w: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(работ)</w:t>
            </w:r>
          </w:p>
        </w:tc>
        <w:tc>
          <w:tcPr>
            <w:tcW w:w="1468" w:type="pct"/>
            <w:gridSpan w:val="4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 показателя по годам</w:t>
            </w:r>
          </w:p>
        </w:tc>
        <w:tc>
          <w:tcPr>
            <w:tcW w:w="1355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на момент окончания реализации </w:t>
            </w: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</w:tr>
      <w:tr w:rsidR="00B415A0" w:rsidRPr="00AA4E59" w:rsidTr="00B415A0">
        <w:tc>
          <w:tcPr>
            <w:tcW w:w="19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55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EE2945" w:rsidP="00562AD6">
      <w:pPr>
        <w:ind w:firstLine="709"/>
        <w:jc w:val="both"/>
        <w:rPr>
          <w:rFonts w:ascii="Times New Roman" w:hAnsi="Times New Roman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Pr="00AA4E59">
        <w:rPr>
          <w:rFonts w:ascii="Times New Roman" w:hAnsi="Times New Roman"/>
          <w:sz w:val="20"/>
          <w:szCs w:val="20"/>
        </w:rPr>
        <w:t xml:space="preserve"> 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EEF" w:rsidRPr="00AA4E59" w:rsidRDefault="00562EEF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F40FEA" w:rsidRDefault="00F40FE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0F3" w:rsidRPr="00AA4E59" w:rsidRDefault="00DE20F3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DE20F3" w:rsidRPr="00AA4E59" w:rsidRDefault="00DE20F3" w:rsidP="00562AD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6137"/>
        <w:gridCol w:w="7187"/>
      </w:tblGrid>
      <w:tr w:rsidR="002B6101" w:rsidRPr="00AA4E59" w:rsidTr="00EE2945">
        <w:tc>
          <w:tcPr>
            <w:tcW w:w="675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307" w:type="dxa"/>
            <w:shd w:val="clear" w:color="auto" w:fill="auto"/>
          </w:tcPr>
          <w:p w:rsidR="00DE20F3" w:rsidRPr="00AA4E59" w:rsidRDefault="00B8048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A4E59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A4E59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6D1356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D41" w:rsidRPr="00AA4E59" w:rsidRDefault="006D1356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307" w:type="dxa"/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A4E59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EE2945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lastRenderedPageBreak/>
        <w:t>3</w:t>
      </w:r>
      <w:r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572FF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Default="00EE2945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FFB">
        <w:rPr>
          <w:rFonts w:ascii="Times New Roman" w:hAnsi="Times New Roman"/>
          <w:sz w:val="16"/>
          <w:szCs w:val="16"/>
        </w:rPr>
        <w:t xml:space="preserve">4 </w:t>
      </w:r>
      <w:r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5009F" w:rsidRDefault="0015009F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E402D9" w:rsidRDefault="00572FF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A66165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E402D9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E402D9" w:rsidRDefault="002F28BC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2019 – 2024 годы</w:t>
      </w:r>
      <w:r w:rsidR="00C75A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C75A2A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5A2A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</w:t>
      </w:r>
    </w:p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D4" w:rsidRDefault="00590AD4" w:rsidP="00B7030D">
      <w:r>
        <w:separator/>
      </w:r>
    </w:p>
  </w:endnote>
  <w:endnote w:type="continuationSeparator" w:id="0">
    <w:p w:rsidR="00590AD4" w:rsidRDefault="00590AD4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E0" w:rsidRPr="0005151B" w:rsidRDefault="00371EE0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D4" w:rsidRDefault="00590AD4" w:rsidP="00B7030D">
      <w:r>
        <w:separator/>
      </w:r>
    </w:p>
  </w:footnote>
  <w:footnote w:type="continuationSeparator" w:id="0">
    <w:p w:rsidR="00590AD4" w:rsidRDefault="00590AD4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E0" w:rsidRPr="00AD43FE" w:rsidRDefault="00371EE0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FF1F31" w:rsidRPr="00FF1F31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E0" w:rsidRPr="00AD43FE" w:rsidRDefault="00371EE0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FF1F31" w:rsidRPr="00FF1F31">
      <w:rPr>
        <w:rFonts w:ascii="Times New Roman" w:hAnsi="Times New Roman"/>
        <w:noProof/>
        <w:sz w:val="24"/>
        <w:szCs w:val="24"/>
        <w:lang w:val="ru-RU"/>
      </w:rPr>
      <w:t>21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2F24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263D"/>
    <w:rsid w:val="00302E13"/>
    <w:rsid w:val="0030378D"/>
    <w:rsid w:val="00304746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654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4752-95A1-4C5C-BBEB-57174190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Виктория Тодрия</cp:lastModifiedBy>
  <cp:revision>2</cp:revision>
  <cp:lastPrinted>2020-06-01T07:32:00Z</cp:lastPrinted>
  <dcterms:created xsi:type="dcterms:W3CDTF">2020-06-28T09:15:00Z</dcterms:created>
  <dcterms:modified xsi:type="dcterms:W3CDTF">2020-06-28T09:15:00Z</dcterms:modified>
</cp:coreProperties>
</file>